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de13699f-7fee-4b1f-a86f-31ded65eae63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Республики Тыва 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tbl>
      <w:tblPr>
        <w:tblW w:w="952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5"/>
        <w:gridCol w:w="3115"/>
        <w:gridCol w:w="3294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Н.А.Сергеева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Протокол №1 от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«28» августа 2023г. 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О.Д. Хомушку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от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«29» августа 2023г.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294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В.М. Алдын-оол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>Приказ № 115-од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от  «30» августа 2023г.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География Тувы»</w:t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color w:val="000000"/>
          <w:sz w:val="28"/>
        </w:rPr>
        <w:t xml:space="preserve">для обучающихся 8 классов 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Кызыл </w:t>
      </w:r>
      <w:bookmarkStart w:id="1" w:name="e17c6bbb-3fbd-4dc0-98b2-217b1bd29395"/>
      <w:bookmarkStart w:id="2" w:name="89d4b353-067d-40b4-9e10-968a93e21e67"/>
      <w:bookmarkEnd w:id="2"/>
      <w:r>
        <w:rPr>
          <w:rFonts w:ascii="Times New Roman" w:hAnsi="Times New Roman"/>
          <w:b/>
          <w:color w:val="000000"/>
          <w:sz w:val="28"/>
        </w:rPr>
        <w:t>2023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>
          <w:rFonts w:eastAsia="Calibri" w:cs="Times New Roman" w:ascii="Times New Roman" w:hAnsi="Times New Roman"/>
          <w:sz w:val="24"/>
        </w:rPr>
        <w:t>СОДЕРЖАНИЕ</w:t>
      </w:r>
    </w:p>
    <w:p>
      <w:pPr>
        <w:pStyle w:val="Normal"/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5"/>
        </w:numPr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Пояснительная записка ………………………………………………………………. 3</w:t>
      </w:r>
    </w:p>
    <w:p>
      <w:pPr>
        <w:pStyle w:val="ListParagraph"/>
        <w:numPr>
          <w:ilvl w:val="0"/>
          <w:numId w:val="5"/>
        </w:numPr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Цели и задачи курса географии ................................................................................... 4</w:t>
      </w:r>
    </w:p>
    <w:p>
      <w:pPr>
        <w:pStyle w:val="ListParagraph"/>
        <w:numPr>
          <w:ilvl w:val="0"/>
          <w:numId w:val="5"/>
        </w:numPr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Планируемые результаты освоения учебного предмета ..........................................  5</w:t>
      </w:r>
    </w:p>
    <w:p>
      <w:pPr>
        <w:pStyle w:val="ListParagraph"/>
        <w:numPr>
          <w:ilvl w:val="0"/>
          <w:numId w:val="5"/>
        </w:numPr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Содержание учебного предмета.................................................................................... 6</w:t>
      </w:r>
    </w:p>
    <w:p>
      <w:pPr>
        <w:pStyle w:val="ListParagraph"/>
        <w:numPr>
          <w:ilvl w:val="0"/>
          <w:numId w:val="5"/>
        </w:numPr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Тематическое планирование ......................................................................................... 7</w:t>
      </w:r>
    </w:p>
    <w:p>
      <w:pPr>
        <w:pStyle w:val="ListParagraph"/>
        <w:numPr>
          <w:ilvl w:val="0"/>
          <w:numId w:val="5"/>
        </w:numPr>
        <w:spacing w:lineRule="auto" w:line="48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Обеспечение образовательного процесса .................................................................... 9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b/>
          <w:b/>
          <w:sz w:val="24"/>
        </w:rPr>
      </w:pPr>
      <w:r>
        <w:rPr>
          <w:rFonts w:eastAsia="Calibri" w:cs="Times New Roman" w:ascii="Times New Roman" w:hAnsi="Times New Roman"/>
          <w:b/>
          <w:sz w:val="24"/>
        </w:rPr>
        <w:t>ПОЯСНИТЕЛЬНАЯ ЗАПИСКА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Рабочая программа курса географии Республики Тыва в 8 классе составлена в соответствии с: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1. Федеральным законом №273 от 29.12.2012 г. «Об образовании в Российской Федерации»;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2. Приказом Министерства образования Российской Федерации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образования учебного плана и примерных учебных планов для общеобразовательных учреждений РФ, реализующих программы общего образования», с изменениями на 7 июня 2017 года;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3. Приказом Минобрнауки России от 30.08.2013 г. № 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4. Приказа Минобрнауки России от 09.01.2014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Calibri" w:cs="Times New Roman" w:ascii="Times New Roman" w:hAnsi="Times New Roman"/>
          <w:sz w:val="24"/>
        </w:rPr>
        <w:t>5. Постановлением Главного государственного санитарного врача РФ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 марта 2011 года. Регистрационный № 199;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color w:val="FF0000"/>
          <w:sz w:val="24"/>
        </w:rPr>
      </w:pPr>
      <w:r>
        <w:rPr>
          <w:rFonts w:eastAsia="Calibri" w:cs="Times New Roman" w:ascii="Times New Roman" w:hAnsi="Times New Roman"/>
          <w:sz w:val="24"/>
        </w:rPr>
        <w:t>6. Региональным образовательным стандартом 2004 года;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</w:rPr>
        <w:t>6. Рекомендованной институтом развития национальной школы Министерства образования и науки Республики Тыва;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Программа предназначена для изучения основ регионального компонента в 8 - х классах общеобразовательных учреждений. Она составлена на основе национально - регионального компонента образовательной области «География» на базовом уровне. В ее основе - изучение особенности природы в 1 полугодии; населения и хозяйства республики во 2 полугодии. Программа рассчитана на 35 часов, 1 час в неделю. Резервных часов – 1.</w:t>
      </w:r>
    </w:p>
    <w:p>
      <w:pPr>
        <w:pStyle w:val="Normal"/>
        <w:shd w:val="clear" w:color="auto" w:fill="FFFFFF"/>
        <w:spacing w:lineRule="auto" w:line="360" w:beforeAutospacing="1" w:afterAutospacing="1"/>
        <w:ind w:firstLine="70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Программа конкретизирует содержание блоков образовательного стандарта, предлагает распределение учебных часов по разделам курса и определяет последовательность их изучения. Она содержит также рекомендуемый перечень практических работ по каждому разделу.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ЦЕЛИ И ЗАДАЧИ КУРСА: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Изучение географии Республики Тыва направлено на достижение следующих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целей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Calibri" w:cs="Times New Roman" w:ascii="Times New Roman" w:hAnsi="Times New Roman"/>
          <w:sz w:val="24"/>
        </w:rPr>
        <w:t xml:space="preserve"> сформировать у учащихся целостное представление о современном, постоянно меняющемся пространстве, о месте Республики Тыва в этом мире, а также развить у школьников познавательный интерес к своей «малой Родине».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eastAsia="Calibri" w:cs="Times New Roman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Исходя из поставленных целей, в ходе изучения курса необходимо решить следующие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освоение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системы географических знаний о целостном, многообразном, динамично изменяющемся мире, взаимосвязи природы, населения и хозяйства Республики Тыва на всех территориальных уровнях, о методах изучения географического пространства области и разнообразии его объектов и процессов;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владение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развитие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республики;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воспитание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патриотизма, толерантности, уважения к другим народам и культурам, бережного отношения к окружающей среде;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использование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практической деятельности и повседневной жизни разнообразных географических методов, знаний и умений, а также географической информации о Республике Тыва;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нахождение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и применение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географической информации, включая карты, статистические материалы, геоинформационные системы и Интернет-ресурсы, для правильной оценки важнейших социально-экономических вопросов, геополитической и геоэкономической ситуации в Республике Тыва, тенденций их возможного развития;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понимание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географической специфики региона в условиях стремительного развития туризма и отдыха, деловых и образовательных программ, телекоммуникации, простого общения;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ru-RU"/>
        </w:rPr>
        <w:t>воспитание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грамотного экологического поведения и отношения к окружающему миру.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</w:t>
      </w:r>
    </w:p>
    <w:p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Обучающийся научится: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региона;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описывать по карте положение и взаиморасположение географических объектов;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150"/>
        <w:ind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1"/>
          <w:lang w:eastAsia="ru-RU"/>
        </w:rPr>
        <w:t xml:space="preserve">Обучающийся </w:t>
      </w:r>
      <w:r>
        <w:rPr>
          <w:rFonts w:eastAsia="Times New Roman" w:cs="Times New Roman" w:ascii="Times New Roman" w:hAnsi="Times New Roman"/>
          <w:b/>
          <w:sz w:val="24"/>
          <w:szCs w:val="21"/>
          <w:lang w:eastAsia="ru-RU"/>
        </w:rPr>
        <w:t>получит возможность</w:t>
      </w:r>
      <w:r>
        <w:rPr>
          <w:rFonts w:eastAsia="Times New Roman" w:cs="Times New Roman" w:ascii="Times New Roman" w:hAnsi="Times New Roman"/>
          <w:b/>
          <w:sz w:val="32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1"/>
          <w:lang w:eastAsia="ru-RU"/>
        </w:rPr>
        <w:t>научиться: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15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оценивать воздействие географического положения родного края на особенности природы, жизнь и хозяйственную деятельность населения;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15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различать географические процессы и явления, определяющие особенности природы Республики Тыва.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15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объяснять особенности компонентов природы республики;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15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оценивать природные условия и обеспеченность природными ресурсами региона;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15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использовать знания об особенностях компонентов природы Тувы, об особенностях взаимодействия природы и общества в регионе, для решения практико-ориентированных задач в контексте реальной жизни;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Autospacing="1" w:after="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наносить на контурные карты основные формы рельефа;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150"/>
        <w:ind w:left="0"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1"/>
          <w:lang w:eastAsia="ru-RU"/>
        </w:rPr>
        <w:t>давать характеристику климата своей республики;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>
      <w:pPr>
        <w:pStyle w:val="Normal"/>
        <w:shd w:val="clear" w:color="auto" w:fill="FFFFFF"/>
        <w:spacing w:beforeAutospacing="1" w:afterAutospacing="1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Введение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(1ч)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Объект и предмет изучения курса. Роль курса в формировании знаний о природе, экономике и  населении родного края.</w:t>
      </w:r>
    </w:p>
    <w:p>
      <w:pPr>
        <w:pStyle w:val="Normal"/>
        <w:shd w:val="clear" w:color="auto" w:fill="FFFFFF"/>
        <w:spacing w:beforeAutospacing="1" w:afterAutospacing="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highlight w:val="whit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eastAsia="ru-RU"/>
        </w:rPr>
        <w:t>Часть 1. Природа Республики Тыва (19 ч)</w:t>
      </w:r>
    </w:p>
    <w:p>
      <w:pPr>
        <w:pStyle w:val="Normal"/>
        <w:shd w:val="clear" w:color="auto" w:fill="FFFFFF"/>
        <w:spacing w:lineRule="auto" w:line="360" w:beforeAutospacing="1" w:afterAutospacing="1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ru-RU"/>
        </w:rPr>
        <w:t>ГП и природные условия. Кызыл – столица Тувы. История изучения. Геологическое строение. Горные породы. Полезные ископаемые Тувы. Рельеф. Климат и климатообразующие факторы. Климат и человек. Внутренние воды: реки и озера, ледники. Аржааны. Разнообразие почв. Почвенные ресурсы и охрана почв. Растительный мир Тувы. Животный мир. ООПТ.</w:t>
      </w:r>
    </w:p>
    <w:p>
      <w:pPr>
        <w:pStyle w:val="Normal"/>
        <w:shd w:val="clear" w:color="auto" w:fill="FFFFFF"/>
        <w:spacing w:lineRule="auto" w:line="360" w:before="0" w:after="150"/>
        <w:ind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Часть 2.  Население и хозяйство (10 ч)</w:t>
      </w:r>
    </w:p>
    <w:p>
      <w:pPr>
        <w:pStyle w:val="Normal"/>
        <w:shd w:val="clear" w:color="auto" w:fill="FFFFFF"/>
        <w:spacing w:lineRule="auto" w:line="360" w:before="0" w:after="150"/>
        <w:ind w:right="-225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ЭГП. Административно-территориальное устройство. Численность и ЕП. Структура (состав) населения. Национальный и религиозный  состав населения. Миграции. Трудовые ресурсы. Городское и сельское население. Размещение населения. Общая характеристика экономики. Промышленность. Общая характеристика сельского хозяйства. География с/х. Непроизводственная сфера. Транспорт. Связь. ВЭС. Туризм.</w:t>
      </w:r>
    </w:p>
    <w:p>
      <w:pPr>
        <w:pStyle w:val="Normal"/>
        <w:tabs>
          <w:tab w:val="left" w:pos="56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1"/>
        <w:tblW w:w="999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940"/>
        <w:gridCol w:w="3212"/>
        <w:gridCol w:w="1417"/>
        <w:gridCol w:w="1407"/>
        <w:gridCol w:w="1362"/>
        <w:gridCol w:w="1658"/>
      </w:tblGrid>
      <w:tr>
        <w:trPr>
          <w:trHeight w:val="375" w:hRule="atLeast"/>
        </w:trPr>
        <w:tc>
          <w:tcPr>
            <w:tcW w:w="940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  <w:r>
              <w:rPr>
                <w:rFonts w:eastAsia="Times New Roman" w:cs="Tahoma" w:ascii="Tahoma" w:hAnsi="Tahom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12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17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6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58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>
          <w:trHeight w:val="270" w:hRule="atLeast"/>
        </w:trPr>
        <w:tc>
          <w:tcPr>
            <w:tcW w:w="940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ahoma" w:hAnsi="Tahoma" w:eastAsia="Times New Roman" w:cs="Tahoma"/>
                <w:sz w:val="24"/>
                <w:szCs w:val="24"/>
                <w:lang w:eastAsia="ru-RU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ahoma" w:hAnsi="Tahoma" w:eastAsia="Times New Roman" w:cs="Tahoma"/>
                <w:sz w:val="24"/>
                <w:szCs w:val="24"/>
                <w:lang w:eastAsia="ru-RU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ahoma" w:hAnsi="Tahoma" w:eastAsia="Times New Roman" w:cs="Tahoma"/>
                <w:sz w:val="24"/>
                <w:szCs w:val="24"/>
                <w:lang w:eastAsia="ru-RU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ru-RU"/>
              </w:rPr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658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43" w:hRule="atLeast"/>
        </w:trPr>
        <w:tc>
          <w:tcPr>
            <w:tcW w:w="9996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/>
                <w:shd w:fill="FFFFFF" w:val="clear"/>
                <w:lang w:eastAsia="ru-RU"/>
              </w:rPr>
              <w:t>Часть 1. Природа Республики Тыва (21 ч)</w:t>
            </w:r>
          </w:p>
        </w:tc>
      </w:tr>
      <w:tr>
        <w:trPr>
          <w:trHeight w:val="442" w:hRule="atLeast"/>
        </w:trPr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4"/>
                <w:shd w:fill="FFFFFF" w:val="clear"/>
                <w:lang w:eastAsia="ru-RU"/>
              </w:rPr>
              <w:t>ГП и природные условия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Кызыл – столица Тувы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История изучения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hd w:fill="FFFFFF" w:val="clear"/>
                <w:lang w:eastAsia="ru-RU"/>
              </w:rPr>
              <w:t>Геологическое строение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bCs/>
                <w:color w:val="000000"/>
                <w:sz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hd w:fill="FFFFFF" w:val="clear"/>
                <w:lang w:eastAsia="ru-RU"/>
              </w:rPr>
              <w:t>Горные породы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Полезные ископаемые Тувы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hd w:fill="FFFFFF" w:val="clear"/>
                <w:lang w:eastAsia="ru-RU"/>
              </w:rPr>
              <w:t>Рельеф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hd w:fill="FFFFFF" w:val="clear"/>
                <w:lang w:eastAsia="ru-RU"/>
              </w:rPr>
              <w:t>Климат и климатообразующие факторы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hd w:fill="FFFFFF" w:val="clear"/>
                <w:lang w:eastAsia="ru-RU"/>
              </w:rPr>
              <w:t>Климат и человек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Внутренние воды: реки и озера, ледники.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2ч.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Аржааны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Разнообразие почв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Почвенные ресурсы и охрана почв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Растительный мир Тувы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Животный мир Тувы 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ООПТ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18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Контрольная работа по разделу «Природа РТ»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86" w:hRule="atLeast"/>
        </w:trPr>
        <w:tc>
          <w:tcPr>
            <w:tcW w:w="9996" w:type="dxa"/>
            <w:gridSpan w:val="6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Часть2.  Население и хозяйство (14 ч)</w:t>
            </w:r>
          </w:p>
        </w:tc>
      </w:tr>
      <w:tr>
        <w:trPr>
          <w:trHeight w:val="685" w:hRule="atLeast"/>
        </w:trPr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19.    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ЭГП. Административно-территориальное устройство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Численность и ЕП. Структура (состав) населения. 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Национальный состав населения.  Миграции. Трудовые ресурсы.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Городское и сельское население. Размещение населения.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Общая характеристика экономики.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Общая характеристика сельского хозяйства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География сельского хозяйства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Непроизводственная сфера. Транспорт. Связь. ВЭС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41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40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94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940" w:type="dxa"/>
            <w:tcBorders>
              <w:top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ind w:left="426" w:hanging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212" w:type="dxa"/>
            <w:tcBorders>
              <w:top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35*часов</w:t>
            </w:r>
          </w:p>
        </w:tc>
        <w:tc>
          <w:tcPr>
            <w:tcW w:w="14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58" w:type="dxa"/>
            <w:tcBorders>
              <w:top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8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ОБЕСПЕЧЕНИЕ ОБРАЗОВАТЕЛЬНОГО ПРОЦЕССА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Учебно-методическое обеспечение образовательного процесса предусматривает использование учебного пособия «География Республики Тыва: природа, население, хозяйство» под редакцией С.С.Курбатской и УМК (учебно-методических комплектов) по предмету.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УМК для каждого класса содержит учебник, рабочую тетрадь для обучающихся и поурочные разработки для учителя.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Кабинет географии является неотъемлемой частью информационно-образовательной среды по предмету. В нём так же могут проводиться внеклассные и внеурочные занятия, воспитательная работа с обучающимися.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Кабинет географии необходим каждой школе, а его оснащение должно соответствовать требованиям Федерального государственного образовательного стандарта.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Кабинет географии должен иметь специальную смежную комнату — лаборантскую для хранения демонстрационного оборудования и подготовки практических работ. Основа кабинета — рабочие места для учащихся и учителя.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Кабинет географии должен быть оснащён: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1) современным лабораторным и демонстрационным оборудованием;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2) комплектом технических и информационно-коммуникативных средств обучения, включающих: графопроектор; аппаратуру для записи и воспроизведения аудио- и видео-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информации; компьютер; мультимедиа-проектор; интерактивную доску; медиатеку; широкополосный Интернет; оборудование для спутниковой навигации (в перспективе);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3) комплектом географических карт и тематических таблиц по всем разделам школьного курса географии;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4) комплектом портретов выдающихся географов и путешественников;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5) учебно-методической, справочно-информационной и научно-популярной литературой;</w:t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6) картотекой с заданиями для индивидуального обучения, организации самостоятельных работ обучающихся, проведения контрольных работ и т. д.;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</w:rPr>
        <w:t>7) экспозиционными стендами.</w:t>
      </w:r>
    </w:p>
    <w:sectPr>
      <w:type w:val="nextPage"/>
      <w:pgSz w:w="11906" w:h="16838"/>
      <w:pgMar w:left="1134" w:right="1133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699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Times New Roman" w:hAnsi="Times New Roman"/>
      <w:b/>
      <w:sz w:val="24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cs="Courier New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cs="Wingdings"/>
      <w:sz w:val="20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cs="Courier New"/>
      <w:sz w:val="20"/>
    </w:rPr>
  </w:style>
  <w:style w:type="character" w:styleId="ListLabel31">
    <w:name w:val="ListLabel 31"/>
    <w:qFormat/>
    <w:rPr>
      <w:rFonts w:cs="Wingdings"/>
      <w:sz w:val="20"/>
    </w:rPr>
  </w:style>
  <w:style w:type="character" w:styleId="ListLabel32">
    <w:name w:val="ListLabel 32"/>
    <w:qFormat/>
    <w:rPr>
      <w:rFonts w:cs="Wingdings"/>
      <w:sz w:val="20"/>
    </w:rPr>
  </w:style>
  <w:style w:type="character" w:styleId="ListLabel33">
    <w:name w:val="ListLabel 33"/>
    <w:qFormat/>
    <w:rPr>
      <w:rFonts w:cs="Wingdings"/>
      <w:sz w:val="20"/>
    </w:rPr>
  </w:style>
  <w:style w:type="character" w:styleId="ListLabel34">
    <w:name w:val="ListLabel 34"/>
    <w:qFormat/>
    <w:rPr>
      <w:rFonts w:cs="Wingdings"/>
      <w:sz w:val="20"/>
    </w:rPr>
  </w:style>
  <w:style w:type="character" w:styleId="ListLabel35">
    <w:name w:val="ListLabel 35"/>
    <w:qFormat/>
    <w:rPr>
      <w:rFonts w:cs="Wingdings"/>
      <w:sz w:val="20"/>
    </w:rPr>
  </w:style>
  <w:style w:type="character" w:styleId="ListLabel36">
    <w:name w:val="ListLabel 36"/>
    <w:qFormat/>
    <w:rPr>
      <w:rFonts w:cs="Wingdings"/>
      <w:sz w:val="20"/>
    </w:rPr>
  </w:style>
  <w:style w:type="character" w:styleId="ListLabel37">
    <w:name w:val="ListLabel 37"/>
    <w:qFormat/>
    <w:rPr>
      <w:rFonts w:cs="Wingdings"/>
      <w:sz w:val="20"/>
    </w:rPr>
  </w:style>
  <w:style w:type="character" w:styleId="ListLabel38">
    <w:name w:val="ListLabel 38"/>
    <w:qFormat/>
    <w:rPr>
      <w:rFonts w:ascii="Times New Roman" w:hAnsi="Times New Roman"/>
      <w:b/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663c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e52e6"/>
    <w:pPr>
      <w:spacing w:after="0" w:line="240" w:lineRule="auto"/>
    </w:pPr>
    <w:rPr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52e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mWLTr93j/Fsyy7nHmLSeHgRgfJydUsjIqO0N4duZ7ls=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KbKPoHxiXZdXQnGU2f0Xz2OeJPbhDgFNMbZqUBrqwm+jzsFQILiDxjznQUasuph0
oomSnIjX0699THv/UYdI+A==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73ib+0dCeT9gOOnGkw+nO8g6NBw=</DigestValue>
      </Reference>
      <Reference URI="/word/fontTable.xml?ContentType=application/vnd.openxmlformats-officedocument.wordprocessingml.fontTable+xml">
        <DigestMethod Algorithm="http://www.w3.org/2000/09/xmldsig#sha1"/>
        <DigestValue>cu3WuMLVj/g2+JzetuA1jQXywhc=</DigestValue>
      </Reference>
      <Reference URI="/word/numbering.xml?ContentType=application/vnd.openxmlformats-officedocument.wordprocessingml.numbering+xml">
        <DigestMethod Algorithm="http://www.w3.org/2000/09/xmldsig#sha1"/>
        <DigestValue>wCDqkh5+FItTYjW3B+xAPHcViWw=</DigestValue>
      </Reference>
      <Reference URI="/word/settings.xml?ContentType=application/vnd.openxmlformats-officedocument.wordprocessingml.settings+xml">
        <DigestMethod Algorithm="http://www.w3.org/2000/09/xmldsig#sha1"/>
        <DigestValue>Ofzm5A2SdwgzrWTSi4ASF/tiW2s=</DigestValue>
      </Reference>
      <Reference URI="/word/styles.xml?ContentType=application/vnd.openxmlformats-officedocument.wordprocessingml.styles+xml">
        <DigestMethod Algorithm="http://www.w3.org/2000/09/xmldsig#sha1"/>
        <DigestValue>4mc+eMXCMKKX7puRB+/I2ZodGec=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2023-09-07T14:19:53Z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LibreOffice/5.3.6.1$Linux_X86_64 LibreOffice_project/30$Build-1</Application>
  <Pages>9</Pages>
  <Words>1465</Words>
  <Characters>11148</Characters>
  <CharactersWithSpaces>12499</CharactersWithSpaces>
  <Paragraphs>201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2020-08-26T14:57:00Z</dcterms:created>
  <dc:creator>HP</dc:creator>
  <dc:description/>
  <dc:language>ru-RU</dc:language>
  <cp:lastModifiedBy/>
  <dcterms:modified xsi:type="dcterms:W3CDTF">2023-09-07T16:41:17Z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